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161B" w14:textId="63842335" w:rsidR="00AA680E" w:rsidRPr="00610C8D" w:rsidRDefault="00F91B2C" w:rsidP="002C69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0C8D">
        <w:rPr>
          <w:rFonts w:ascii="Arial" w:hAnsi="Arial" w:cs="Arial"/>
          <w:b/>
          <w:sz w:val="28"/>
          <w:szCs w:val="28"/>
          <w:u w:val="single"/>
        </w:rPr>
        <w:t>Oversupply Looms in Brisbane</w:t>
      </w:r>
      <w:r w:rsidR="001A0142">
        <w:rPr>
          <w:rFonts w:ascii="Arial" w:hAnsi="Arial" w:cs="Arial"/>
          <w:b/>
          <w:sz w:val="28"/>
          <w:szCs w:val="28"/>
          <w:u w:val="single"/>
        </w:rPr>
        <w:t>, Sydney and Melbourne</w:t>
      </w:r>
      <w:r w:rsidR="004D5042" w:rsidRPr="00610C8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BA3AE93" w14:textId="77777777" w:rsidR="00214410" w:rsidRPr="00610C8D" w:rsidRDefault="00214410" w:rsidP="002C69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D6F9B21" w14:textId="07645BB0" w:rsidR="000A7995" w:rsidRPr="00610C8D" w:rsidRDefault="009F6B28" w:rsidP="002C699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10C8D">
        <w:rPr>
          <w:rFonts w:ascii="Arial" w:hAnsi="Arial" w:cs="Arial"/>
          <w:b/>
          <w:i/>
          <w:sz w:val="28"/>
          <w:szCs w:val="28"/>
        </w:rPr>
        <w:t xml:space="preserve">Christopher’s Housing Boom and Bust </w:t>
      </w:r>
      <w:r w:rsidR="000A7995" w:rsidRPr="00610C8D">
        <w:rPr>
          <w:rFonts w:ascii="Arial" w:hAnsi="Arial" w:cs="Arial"/>
          <w:b/>
          <w:i/>
          <w:sz w:val="28"/>
          <w:szCs w:val="28"/>
        </w:rPr>
        <w:t>Re</w:t>
      </w:r>
      <w:r w:rsidRPr="00610C8D">
        <w:rPr>
          <w:rFonts w:ascii="Arial" w:hAnsi="Arial" w:cs="Arial"/>
          <w:b/>
          <w:i/>
          <w:sz w:val="28"/>
          <w:szCs w:val="28"/>
        </w:rPr>
        <w:t>port</w:t>
      </w:r>
      <w:r w:rsidR="000A7995" w:rsidRPr="00610C8D">
        <w:rPr>
          <w:rFonts w:ascii="Arial" w:hAnsi="Arial" w:cs="Arial"/>
          <w:b/>
          <w:i/>
          <w:sz w:val="28"/>
          <w:szCs w:val="28"/>
        </w:rPr>
        <w:t xml:space="preserve"> </w:t>
      </w:r>
      <w:r w:rsidR="000A7995" w:rsidRPr="00610C8D">
        <w:rPr>
          <w:rFonts w:ascii="Arial" w:hAnsi="Arial" w:cs="Arial"/>
          <w:i/>
          <w:sz w:val="28"/>
          <w:szCs w:val="28"/>
        </w:rPr>
        <w:tab/>
      </w:r>
    </w:p>
    <w:p w14:paraId="37E1D096" w14:textId="77777777" w:rsidR="00F91B2C" w:rsidRDefault="00F91B2C" w:rsidP="002C699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2D9F143C" w14:textId="5EC81FB8" w:rsidR="000A7995" w:rsidRPr="00610C8D" w:rsidRDefault="004F02EC" w:rsidP="002C6990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610C8D">
        <w:rPr>
          <w:rFonts w:ascii="Arial" w:hAnsi="Arial" w:cs="Arial"/>
          <w:sz w:val="20"/>
          <w:szCs w:val="20"/>
          <w:u w:val="single"/>
        </w:rPr>
        <w:t>T</w:t>
      </w:r>
      <w:r w:rsidR="001D1162" w:rsidRPr="00610C8D">
        <w:rPr>
          <w:rFonts w:ascii="Arial" w:hAnsi="Arial" w:cs="Arial"/>
          <w:sz w:val="20"/>
          <w:szCs w:val="20"/>
          <w:u w:val="single"/>
        </w:rPr>
        <w:t>HURSDAY</w:t>
      </w:r>
      <w:r w:rsidRPr="00610C8D">
        <w:rPr>
          <w:rFonts w:ascii="Arial" w:hAnsi="Arial" w:cs="Arial"/>
          <w:sz w:val="20"/>
          <w:szCs w:val="20"/>
          <w:u w:val="single"/>
        </w:rPr>
        <w:t xml:space="preserve"> </w:t>
      </w:r>
      <w:r w:rsidR="001D1162" w:rsidRPr="00610C8D">
        <w:rPr>
          <w:rFonts w:ascii="Arial" w:hAnsi="Arial" w:cs="Arial"/>
          <w:sz w:val="20"/>
          <w:szCs w:val="20"/>
          <w:u w:val="single"/>
        </w:rPr>
        <w:t>3rd</w:t>
      </w:r>
      <w:r w:rsidR="00086DE5" w:rsidRPr="00610C8D">
        <w:rPr>
          <w:rFonts w:ascii="Arial" w:hAnsi="Arial" w:cs="Arial"/>
          <w:sz w:val="20"/>
          <w:szCs w:val="20"/>
          <w:u w:val="single"/>
        </w:rPr>
        <w:t xml:space="preserve"> </w:t>
      </w:r>
      <w:r w:rsidR="001D1162" w:rsidRPr="00610C8D">
        <w:rPr>
          <w:rFonts w:ascii="Arial" w:hAnsi="Arial" w:cs="Arial"/>
          <w:sz w:val="20"/>
          <w:szCs w:val="20"/>
          <w:u w:val="single"/>
        </w:rPr>
        <w:t xml:space="preserve">November </w:t>
      </w:r>
      <w:r w:rsidR="00971AC7" w:rsidRPr="00610C8D">
        <w:rPr>
          <w:rFonts w:ascii="Arial" w:hAnsi="Arial" w:cs="Arial"/>
          <w:sz w:val="20"/>
          <w:szCs w:val="20"/>
          <w:u w:val="single"/>
        </w:rPr>
        <w:t>2</w:t>
      </w:r>
      <w:r w:rsidR="00985B61" w:rsidRPr="00610C8D">
        <w:rPr>
          <w:rFonts w:ascii="Arial" w:hAnsi="Arial" w:cs="Arial"/>
          <w:sz w:val="20"/>
          <w:szCs w:val="20"/>
          <w:u w:val="single"/>
        </w:rPr>
        <w:t>016</w:t>
      </w:r>
      <w:r w:rsidR="000A7995" w:rsidRPr="00610C8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E75B4C7" w14:textId="77777777" w:rsidR="00F117C2" w:rsidRDefault="00F117C2" w:rsidP="002C699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29796305" w14:textId="77777777" w:rsidR="002C6990" w:rsidRDefault="002C6990" w:rsidP="002C699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5214A642" w14:textId="6CE849E9" w:rsidR="00D043D2" w:rsidRPr="00567926" w:rsidRDefault="00496CE2" w:rsidP="002C69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SQM Research forecasts </w:t>
      </w:r>
      <w:r w:rsidR="00D40CC0">
        <w:rPr>
          <w:rFonts w:ascii="Arial" w:hAnsi="Arial" w:cs="Arial"/>
          <w:sz w:val="24"/>
          <w:szCs w:val="24"/>
        </w:rPr>
        <w:t>a</w:t>
      </w:r>
      <w:r w:rsidR="009632DD">
        <w:rPr>
          <w:rFonts w:ascii="Arial" w:hAnsi="Arial" w:cs="Arial"/>
          <w:sz w:val="24"/>
          <w:szCs w:val="24"/>
        </w:rPr>
        <w:t>n oversupply</w:t>
      </w:r>
      <w:r w:rsidR="00BA2F73">
        <w:rPr>
          <w:rFonts w:ascii="Arial" w:hAnsi="Arial" w:cs="Arial"/>
          <w:sz w:val="24"/>
          <w:szCs w:val="24"/>
        </w:rPr>
        <w:t xml:space="preserve"> of </w:t>
      </w:r>
      <w:r w:rsidR="009632DD">
        <w:rPr>
          <w:rFonts w:ascii="Arial" w:hAnsi="Arial" w:cs="Arial"/>
          <w:sz w:val="24"/>
          <w:szCs w:val="24"/>
        </w:rPr>
        <w:t>new residential property</w:t>
      </w:r>
      <w:r w:rsidR="00F77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led by</w:t>
      </w:r>
      <w:r w:rsidR="00CC7B08">
        <w:rPr>
          <w:rFonts w:ascii="Arial" w:hAnsi="Arial" w:cs="Arial"/>
          <w:sz w:val="24"/>
          <w:szCs w:val="24"/>
        </w:rPr>
        <w:t xml:space="preserve"> Brisbane, </w:t>
      </w:r>
      <w:r w:rsidR="009632DD">
        <w:rPr>
          <w:rFonts w:ascii="Arial" w:hAnsi="Arial" w:cs="Arial"/>
          <w:sz w:val="24"/>
          <w:szCs w:val="24"/>
        </w:rPr>
        <w:t>Sydney</w:t>
      </w:r>
      <w:r w:rsidR="00CC7B08">
        <w:rPr>
          <w:rFonts w:ascii="Arial" w:hAnsi="Arial" w:cs="Arial"/>
          <w:sz w:val="24"/>
          <w:szCs w:val="24"/>
        </w:rPr>
        <w:t xml:space="preserve"> and to a lesser extent, Melbourne</w:t>
      </w:r>
      <w:r w:rsidR="008E7F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</w:t>
      </w:r>
      <w:r w:rsidR="00963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keep </w:t>
      </w:r>
      <w:r w:rsidR="00D40CC0">
        <w:rPr>
          <w:rFonts w:ascii="Arial" w:hAnsi="Arial" w:cs="Arial"/>
          <w:sz w:val="24"/>
          <w:szCs w:val="24"/>
        </w:rPr>
        <w:t xml:space="preserve">rental growth </w:t>
      </w:r>
      <w:r w:rsidR="001A623E">
        <w:rPr>
          <w:rFonts w:ascii="Arial" w:hAnsi="Arial" w:cs="Arial"/>
          <w:sz w:val="24"/>
          <w:szCs w:val="24"/>
        </w:rPr>
        <w:t xml:space="preserve">down </w:t>
      </w:r>
      <w:r w:rsidR="00D40CC0">
        <w:rPr>
          <w:rFonts w:ascii="Arial" w:hAnsi="Arial" w:cs="Arial"/>
          <w:sz w:val="24"/>
          <w:szCs w:val="24"/>
        </w:rPr>
        <w:t>in 2018</w:t>
      </w:r>
      <w:r w:rsidR="00F772CC">
        <w:rPr>
          <w:rFonts w:ascii="Arial" w:hAnsi="Arial" w:cs="Arial"/>
          <w:sz w:val="24"/>
          <w:szCs w:val="24"/>
        </w:rPr>
        <w:t xml:space="preserve">, </w:t>
      </w:r>
      <w:r w:rsidR="00567926">
        <w:rPr>
          <w:rFonts w:ascii="Arial" w:hAnsi="Arial" w:cs="Arial"/>
          <w:sz w:val="24"/>
          <w:szCs w:val="24"/>
        </w:rPr>
        <w:t xml:space="preserve">according to </w:t>
      </w:r>
      <w:r w:rsidR="00F772CC" w:rsidRPr="00567926">
        <w:rPr>
          <w:rFonts w:ascii="Arial" w:hAnsi="Arial" w:cs="Arial"/>
          <w:i/>
          <w:sz w:val="24"/>
          <w:szCs w:val="24"/>
        </w:rPr>
        <w:t xml:space="preserve">Christopher’s </w:t>
      </w:r>
      <w:r w:rsidR="009C7E1B" w:rsidRPr="00567926">
        <w:rPr>
          <w:rFonts w:ascii="Arial" w:hAnsi="Arial" w:cs="Arial"/>
          <w:i/>
          <w:sz w:val="24"/>
          <w:szCs w:val="24"/>
        </w:rPr>
        <w:t>Housing</w:t>
      </w:r>
      <w:r w:rsidR="009F6B28" w:rsidRPr="00567926">
        <w:rPr>
          <w:rFonts w:ascii="Arial" w:hAnsi="Arial" w:cs="Arial"/>
          <w:i/>
          <w:sz w:val="24"/>
          <w:szCs w:val="24"/>
        </w:rPr>
        <w:t xml:space="preserve"> Boom and Bust </w:t>
      </w:r>
      <w:r w:rsidR="00014BD7" w:rsidRPr="00567926">
        <w:rPr>
          <w:rFonts w:ascii="Arial" w:hAnsi="Arial" w:cs="Arial"/>
          <w:i/>
          <w:sz w:val="24"/>
          <w:szCs w:val="24"/>
        </w:rPr>
        <w:t>Report</w:t>
      </w:r>
      <w:r w:rsidR="00E2622C" w:rsidRPr="00567926">
        <w:rPr>
          <w:rFonts w:ascii="Arial" w:hAnsi="Arial" w:cs="Arial"/>
          <w:i/>
          <w:sz w:val="24"/>
          <w:szCs w:val="24"/>
        </w:rPr>
        <w:t>.</w:t>
      </w:r>
      <w:r w:rsidR="00D043D2" w:rsidRPr="00567926">
        <w:rPr>
          <w:rFonts w:ascii="Arial" w:hAnsi="Arial" w:cs="Arial"/>
          <w:i/>
          <w:sz w:val="24"/>
          <w:szCs w:val="24"/>
        </w:rPr>
        <w:t xml:space="preserve"> </w:t>
      </w:r>
    </w:p>
    <w:p w14:paraId="6AA5BC84" w14:textId="77777777" w:rsidR="006F4E30" w:rsidRDefault="006F4E30" w:rsidP="006F4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0FCAC" w14:textId="1CA9E32F" w:rsidR="00401F88" w:rsidRDefault="00401F88" w:rsidP="002C69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01F88">
        <w:rPr>
          <w:rFonts w:ascii="Arial" w:hAnsi="Arial" w:cs="Arial"/>
          <w:sz w:val="24"/>
          <w:szCs w:val="24"/>
        </w:rPr>
        <w:t xml:space="preserve">In this year’s </w:t>
      </w:r>
      <w:r w:rsidRPr="00567926">
        <w:rPr>
          <w:rFonts w:ascii="Arial" w:hAnsi="Arial" w:cs="Arial"/>
          <w:i/>
          <w:sz w:val="24"/>
          <w:szCs w:val="24"/>
        </w:rPr>
        <w:t xml:space="preserve">Housing Boom and Bust </w:t>
      </w:r>
      <w:r w:rsidR="00F91B2C" w:rsidRPr="00567926">
        <w:rPr>
          <w:rFonts w:ascii="Arial" w:hAnsi="Arial" w:cs="Arial"/>
          <w:i/>
          <w:sz w:val="24"/>
          <w:szCs w:val="24"/>
        </w:rPr>
        <w:t>R</w:t>
      </w:r>
      <w:r w:rsidRPr="00567926">
        <w:rPr>
          <w:rFonts w:ascii="Arial" w:hAnsi="Arial" w:cs="Arial"/>
          <w:i/>
          <w:sz w:val="24"/>
          <w:szCs w:val="24"/>
        </w:rPr>
        <w:t>eport</w:t>
      </w:r>
      <w:r w:rsidRPr="00401F88">
        <w:rPr>
          <w:rFonts w:ascii="Arial" w:hAnsi="Arial" w:cs="Arial"/>
          <w:sz w:val="24"/>
          <w:szCs w:val="24"/>
        </w:rPr>
        <w:t>, we have crunched the numbers on the much talked about apartment oversupply</w:t>
      </w:r>
      <w:r w:rsidR="00D40CC0">
        <w:rPr>
          <w:rFonts w:ascii="Arial" w:hAnsi="Arial" w:cs="Arial"/>
          <w:sz w:val="24"/>
          <w:szCs w:val="24"/>
        </w:rPr>
        <w:t xml:space="preserve"> while</w:t>
      </w:r>
      <w:r w:rsidR="009632DD">
        <w:rPr>
          <w:rFonts w:ascii="Arial" w:hAnsi="Arial" w:cs="Arial"/>
          <w:sz w:val="24"/>
          <w:szCs w:val="24"/>
        </w:rPr>
        <w:t xml:space="preserve"> a</w:t>
      </w:r>
      <w:r w:rsidR="00496CE2">
        <w:rPr>
          <w:rFonts w:ascii="Arial" w:hAnsi="Arial" w:cs="Arial"/>
          <w:sz w:val="24"/>
          <w:szCs w:val="24"/>
        </w:rPr>
        <w:t>lso predicting</w:t>
      </w:r>
      <w:r w:rsidR="00D40CC0">
        <w:rPr>
          <w:rFonts w:ascii="Arial" w:hAnsi="Arial" w:cs="Arial"/>
          <w:sz w:val="24"/>
          <w:szCs w:val="24"/>
        </w:rPr>
        <w:t xml:space="preserve"> total supply by measuring </w:t>
      </w:r>
      <w:r w:rsidR="00496CE2">
        <w:rPr>
          <w:rFonts w:ascii="Arial" w:hAnsi="Arial" w:cs="Arial"/>
          <w:sz w:val="24"/>
          <w:szCs w:val="24"/>
        </w:rPr>
        <w:t>new house completions,</w:t>
      </w:r>
      <w:r w:rsidR="009632DD">
        <w:rPr>
          <w:rFonts w:ascii="Arial" w:hAnsi="Arial" w:cs="Arial"/>
          <w:sz w:val="24"/>
          <w:szCs w:val="24"/>
        </w:rPr>
        <w:t xml:space="preserve">” </w:t>
      </w:r>
      <w:r w:rsidRPr="00401F88">
        <w:rPr>
          <w:rFonts w:ascii="Arial" w:hAnsi="Arial" w:cs="Arial"/>
          <w:sz w:val="24"/>
          <w:szCs w:val="24"/>
        </w:rPr>
        <w:t xml:space="preserve">said </w:t>
      </w:r>
      <w:r w:rsidR="00263797">
        <w:rPr>
          <w:rFonts w:ascii="Arial" w:hAnsi="Arial" w:cs="Arial"/>
          <w:sz w:val="24"/>
          <w:szCs w:val="24"/>
        </w:rPr>
        <w:t xml:space="preserve">Louis Christopher, the </w:t>
      </w:r>
      <w:r w:rsidR="00263797" w:rsidRPr="00917FDF">
        <w:rPr>
          <w:rFonts w:ascii="Arial" w:hAnsi="Arial" w:cs="Arial"/>
          <w:sz w:val="24"/>
          <w:szCs w:val="24"/>
        </w:rPr>
        <w:t>Managing Director of SQM Research</w:t>
      </w:r>
      <w:r w:rsidR="00263797">
        <w:rPr>
          <w:rFonts w:ascii="Arial" w:hAnsi="Arial" w:cs="Arial"/>
          <w:sz w:val="24"/>
          <w:szCs w:val="24"/>
        </w:rPr>
        <w:t xml:space="preserve"> and author of the report</w:t>
      </w:r>
      <w:r w:rsidR="00263797" w:rsidRPr="00322BA4">
        <w:rPr>
          <w:rFonts w:ascii="Arial" w:hAnsi="Arial" w:cs="Arial"/>
          <w:sz w:val="24"/>
          <w:szCs w:val="24"/>
        </w:rPr>
        <w:t>.</w:t>
      </w:r>
    </w:p>
    <w:p w14:paraId="78D4D50E" w14:textId="77777777" w:rsidR="00263797" w:rsidRDefault="00263797" w:rsidP="002C6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6DF3" w14:textId="1F548A0E" w:rsidR="00401F88" w:rsidRPr="00401F88" w:rsidRDefault="00401F88" w:rsidP="00401F88">
      <w:pPr>
        <w:widowControl w:val="0"/>
        <w:autoSpaceDE w:val="0"/>
        <w:autoSpaceDN w:val="0"/>
        <w:adjustRightInd w:val="0"/>
        <w:spacing w:after="160" w:line="181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01F88">
        <w:rPr>
          <w:rFonts w:ascii="Arial" w:hAnsi="Arial" w:cs="Arial"/>
          <w:sz w:val="24"/>
          <w:szCs w:val="24"/>
        </w:rPr>
        <w:t>ne of the nation</w:t>
      </w:r>
      <w:r w:rsidR="00496CE2">
        <w:rPr>
          <w:rFonts w:ascii="Arial" w:hAnsi="Arial" w:cs="Arial"/>
          <w:sz w:val="24"/>
          <w:szCs w:val="24"/>
        </w:rPr>
        <w:t>’</w:t>
      </w:r>
      <w:r w:rsidRPr="00401F88">
        <w:rPr>
          <w:rFonts w:ascii="Arial" w:hAnsi="Arial" w:cs="Arial"/>
          <w:sz w:val="24"/>
          <w:szCs w:val="24"/>
        </w:rPr>
        <w:t>s most talked about apar</w:t>
      </w:r>
      <w:r w:rsidR="001A0142">
        <w:rPr>
          <w:rFonts w:ascii="Arial" w:hAnsi="Arial" w:cs="Arial"/>
          <w:sz w:val="24"/>
          <w:szCs w:val="24"/>
        </w:rPr>
        <w:t xml:space="preserve">tment markets for 2016, </w:t>
      </w:r>
      <w:r>
        <w:rPr>
          <w:rFonts w:ascii="Arial" w:hAnsi="Arial" w:cs="Arial"/>
          <w:sz w:val="24"/>
          <w:szCs w:val="24"/>
        </w:rPr>
        <w:t>M</w:t>
      </w:r>
      <w:r w:rsidR="00D40CC0">
        <w:rPr>
          <w:rFonts w:ascii="Arial" w:hAnsi="Arial" w:cs="Arial"/>
          <w:sz w:val="24"/>
          <w:szCs w:val="24"/>
        </w:rPr>
        <w:t>elbourne will record</w:t>
      </w:r>
      <w:r w:rsidRPr="00401F88">
        <w:rPr>
          <w:rFonts w:ascii="Arial" w:hAnsi="Arial" w:cs="Arial"/>
          <w:sz w:val="24"/>
          <w:szCs w:val="24"/>
        </w:rPr>
        <w:t xml:space="preserve"> a 29% increase</w:t>
      </w:r>
      <w:r w:rsidR="001A623E">
        <w:rPr>
          <w:rFonts w:ascii="Arial" w:hAnsi="Arial" w:cs="Arial"/>
          <w:sz w:val="24"/>
          <w:szCs w:val="24"/>
        </w:rPr>
        <w:t xml:space="preserve"> in completions as </w:t>
      </w:r>
      <w:r w:rsidR="00D40CC0">
        <w:rPr>
          <w:rFonts w:ascii="Arial" w:hAnsi="Arial" w:cs="Arial"/>
          <w:sz w:val="24"/>
          <w:szCs w:val="24"/>
        </w:rPr>
        <w:t>2016 ends</w:t>
      </w:r>
      <w:r>
        <w:rPr>
          <w:rFonts w:ascii="Arial" w:hAnsi="Arial" w:cs="Arial"/>
          <w:sz w:val="24"/>
          <w:szCs w:val="24"/>
        </w:rPr>
        <w:t>,</w:t>
      </w:r>
      <w:r w:rsidRPr="00401F88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around </w:t>
      </w:r>
      <w:r w:rsidRPr="00401F88">
        <w:rPr>
          <w:rFonts w:ascii="Arial" w:hAnsi="Arial" w:cs="Arial"/>
          <w:sz w:val="24"/>
          <w:szCs w:val="24"/>
        </w:rPr>
        <w:t>18,000 new apartments making their debut.</w:t>
      </w:r>
      <w:r w:rsidR="00D40CC0">
        <w:rPr>
          <w:rFonts w:ascii="Arial" w:hAnsi="Arial" w:cs="Arial"/>
          <w:sz w:val="24"/>
          <w:szCs w:val="24"/>
        </w:rPr>
        <w:t xml:space="preserve"> However, surging population growth in the city </w:t>
      </w:r>
      <w:r w:rsidR="00496CE2">
        <w:rPr>
          <w:rFonts w:ascii="Arial" w:hAnsi="Arial" w:cs="Arial"/>
          <w:sz w:val="24"/>
          <w:szCs w:val="24"/>
        </w:rPr>
        <w:t>has absorbed most of this stock</w:t>
      </w:r>
      <w:r w:rsidR="00D40CC0">
        <w:rPr>
          <w:rFonts w:ascii="Arial" w:hAnsi="Arial" w:cs="Arial"/>
          <w:sz w:val="24"/>
          <w:szCs w:val="24"/>
        </w:rPr>
        <w:t xml:space="preserve">. </w:t>
      </w:r>
      <w:r w:rsidR="002876E5">
        <w:rPr>
          <w:rFonts w:ascii="Arial" w:hAnsi="Arial" w:cs="Arial"/>
          <w:sz w:val="24"/>
          <w:szCs w:val="24"/>
        </w:rPr>
        <w:t>In total, 35</w:t>
      </w:r>
      <w:r w:rsidR="00CC7B08">
        <w:rPr>
          <w:rFonts w:ascii="Arial" w:hAnsi="Arial" w:cs="Arial"/>
          <w:sz w:val="24"/>
          <w:szCs w:val="24"/>
        </w:rPr>
        <w:t>,</w:t>
      </w:r>
      <w:r w:rsidR="002876E5">
        <w:rPr>
          <w:rFonts w:ascii="Arial" w:hAnsi="Arial" w:cs="Arial"/>
          <w:sz w:val="24"/>
          <w:szCs w:val="24"/>
        </w:rPr>
        <w:t>000</w:t>
      </w:r>
      <w:r w:rsidR="00CC7B08">
        <w:rPr>
          <w:rFonts w:ascii="Arial" w:hAnsi="Arial" w:cs="Arial"/>
          <w:sz w:val="24"/>
          <w:szCs w:val="24"/>
        </w:rPr>
        <w:t xml:space="preserve"> dwelling</w:t>
      </w:r>
      <w:r w:rsidR="00496CE2">
        <w:rPr>
          <w:rFonts w:ascii="Arial" w:hAnsi="Arial" w:cs="Arial"/>
          <w:sz w:val="24"/>
          <w:szCs w:val="24"/>
        </w:rPr>
        <w:t>s will be completed, including new houses.</w:t>
      </w:r>
    </w:p>
    <w:p w14:paraId="7EF4D56A" w14:textId="0F04A264" w:rsidR="00401F88" w:rsidRDefault="00401F88" w:rsidP="00401F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01F88">
        <w:rPr>
          <w:rFonts w:ascii="Arial" w:hAnsi="Arial" w:cs="Arial"/>
          <w:sz w:val="24"/>
          <w:szCs w:val="24"/>
        </w:rPr>
        <w:t>It ma</w:t>
      </w:r>
      <w:r w:rsidR="00496CE2">
        <w:rPr>
          <w:rFonts w:ascii="Arial" w:hAnsi="Arial" w:cs="Arial"/>
          <w:sz w:val="24"/>
          <w:szCs w:val="24"/>
        </w:rPr>
        <w:t>y not come as a surprise that</w:t>
      </w:r>
      <w:r w:rsidRPr="00401F88">
        <w:rPr>
          <w:rFonts w:ascii="Arial" w:hAnsi="Arial" w:cs="Arial"/>
          <w:sz w:val="24"/>
          <w:szCs w:val="24"/>
        </w:rPr>
        <w:t xml:space="preserve"> the CBD, Sou</w:t>
      </w:r>
      <w:r w:rsidR="00496CE2">
        <w:rPr>
          <w:rFonts w:ascii="Arial" w:hAnsi="Arial" w:cs="Arial"/>
          <w:sz w:val="24"/>
          <w:szCs w:val="24"/>
        </w:rPr>
        <w:t xml:space="preserve">thbank and Docklands </w:t>
      </w:r>
      <w:r w:rsidR="00F91B2C">
        <w:rPr>
          <w:rFonts w:ascii="Arial" w:hAnsi="Arial" w:cs="Arial"/>
          <w:sz w:val="24"/>
          <w:szCs w:val="24"/>
        </w:rPr>
        <w:t>are</w:t>
      </w:r>
      <w:r w:rsidRPr="00401F88">
        <w:rPr>
          <w:rFonts w:ascii="Arial" w:hAnsi="Arial" w:cs="Arial"/>
          <w:sz w:val="24"/>
          <w:szCs w:val="24"/>
        </w:rPr>
        <w:t xml:space="preserve"> the </w:t>
      </w:r>
      <w:r w:rsidR="00F91B2C">
        <w:rPr>
          <w:rFonts w:ascii="Arial" w:hAnsi="Arial" w:cs="Arial"/>
          <w:sz w:val="24"/>
          <w:szCs w:val="24"/>
        </w:rPr>
        <w:t xml:space="preserve">hot spots for development. </w:t>
      </w:r>
      <w:r w:rsidRPr="00F91B2C">
        <w:rPr>
          <w:rFonts w:ascii="Arial" w:hAnsi="Arial" w:cs="Arial"/>
          <w:sz w:val="24"/>
          <w:szCs w:val="24"/>
        </w:rPr>
        <w:t>These will be the epicentres of the apartment over</w:t>
      </w:r>
      <w:r w:rsidR="00496CE2">
        <w:rPr>
          <w:rFonts w:ascii="Arial" w:hAnsi="Arial" w:cs="Arial"/>
          <w:sz w:val="24"/>
          <w:szCs w:val="24"/>
        </w:rPr>
        <w:t>supply come later 2017 and 2018, though a growing population will absorb much of the new stock in time.”</w:t>
      </w:r>
      <w:r w:rsidR="002876E5">
        <w:rPr>
          <w:rFonts w:ascii="Arial" w:hAnsi="Arial" w:cs="Arial"/>
          <w:sz w:val="24"/>
          <w:szCs w:val="24"/>
        </w:rPr>
        <w:t xml:space="preserve"> </w:t>
      </w:r>
    </w:p>
    <w:p w14:paraId="0D04D414" w14:textId="77777777" w:rsidR="00401F88" w:rsidRDefault="00401F88" w:rsidP="00401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E7218" w14:textId="16F8CA8D" w:rsidR="001A0142" w:rsidRDefault="001B7B71" w:rsidP="002876E5">
      <w:pPr>
        <w:pStyle w:val="Pa1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AU"/>
        </w:rPr>
        <w:t>In</w:t>
      </w:r>
      <w:r w:rsidR="00401F88" w:rsidRPr="00401F88">
        <w:rPr>
          <w:rFonts w:ascii="Arial" w:hAnsi="Arial" w:cs="Arial"/>
          <w:lang w:val="en-AU"/>
        </w:rPr>
        <w:t xml:space="preserve"> Brisbane</w:t>
      </w:r>
      <w:r>
        <w:rPr>
          <w:rFonts w:ascii="Arial" w:hAnsi="Arial" w:cs="Arial"/>
          <w:lang w:val="en-AU"/>
        </w:rPr>
        <w:t>,</w:t>
      </w:r>
      <w:r w:rsidR="00401F88" w:rsidRPr="00401F8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the </w:t>
      </w:r>
      <w:r w:rsidR="00DB148F" w:rsidRPr="00AF41E2">
        <w:rPr>
          <w:rFonts w:ascii="Arial" w:hAnsi="Arial" w:cs="Arial"/>
          <w:i/>
        </w:rPr>
        <w:t>Housing Boom and Bust Report</w:t>
      </w:r>
      <w:r w:rsidR="00DB148F">
        <w:rPr>
          <w:rFonts w:ascii="Arial" w:hAnsi="Arial" w:cs="Arial"/>
        </w:rPr>
        <w:t xml:space="preserve"> </w:t>
      </w:r>
      <w:r w:rsidR="00401F88" w:rsidRPr="00401F88">
        <w:rPr>
          <w:rFonts w:ascii="Arial" w:hAnsi="Arial" w:cs="Arial"/>
        </w:rPr>
        <w:t>forecast</w:t>
      </w:r>
      <w:r w:rsidR="00DB148F">
        <w:rPr>
          <w:rFonts w:ascii="Arial" w:hAnsi="Arial" w:cs="Arial"/>
        </w:rPr>
        <w:t>s</w:t>
      </w:r>
      <w:r w:rsidR="00401F88" w:rsidRPr="00401F88">
        <w:rPr>
          <w:rFonts w:ascii="Arial" w:hAnsi="Arial" w:cs="Arial"/>
        </w:rPr>
        <w:t xml:space="preserve"> </w:t>
      </w:r>
      <w:r w:rsidR="001A0142">
        <w:rPr>
          <w:rFonts w:ascii="Arial" w:hAnsi="Arial" w:cs="Arial"/>
        </w:rPr>
        <w:t xml:space="preserve">apartment </w:t>
      </w:r>
      <w:r w:rsidR="00401F88" w:rsidRPr="00401F88">
        <w:rPr>
          <w:rFonts w:ascii="Arial" w:hAnsi="Arial" w:cs="Arial"/>
        </w:rPr>
        <w:t xml:space="preserve">completions </w:t>
      </w:r>
      <w:r w:rsidR="00DB148F">
        <w:rPr>
          <w:rFonts w:ascii="Arial" w:hAnsi="Arial" w:cs="Arial"/>
        </w:rPr>
        <w:t xml:space="preserve">will </w:t>
      </w:r>
      <w:r w:rsidR="00567926">
        <w:rPr>
          <w:rFonts w:ascii="Arial" w:hAnsi="Arial" w:cs="Arial"/>
        </w:rPr>
        <w:t>fall</w:t>
      </w:r>
      <w:r w:rsidR="00263797">
        <w:rPr>
          <w:rFonts w:ascii="Arial" w:hAnsi="Arial" w:cs="Arial"/>
        </w:rPr>
        <w:t xml:space="preserve"> </w:t>
      </w:r>
      <w:r w:rsidR="00401F88" w:rsidRPr="00401F88">
        <w:rPr>
          <w:rFonts w:ascii="Arial" w:hAnsi="Arial" w:cs="Arial"/>
        </w:rPr>
        <w:t xml:space="preserve">by 11% </w:t>
      </w:r>
      <w:r w:rsidR="001A0142">
        <w:rPr>
          <w:rFonts w:ascii="Arial" w:hAnsi="Arial" w:cs="Arial"/>
        </w:rPr>
        <w:t>in 2017 to 8,000 apartments,</w:t>
      </w:r>
      <w:r w:rsidR="00401F88" w:rsidRPr="00401F88">
        <w:rPr>
          <w:rFonts w:ascii="Arial" w:hAnsi="Arial" w:cs="Arial"/>
        </w:rPr>
        <w:t xml:space="preserve"> before </w:t>
      </w:r>
      <w:r w:rsidR="00263797">
        <w:rPr>
          <w:rFonts w:ascii="Arial" w:hAnsi="Arial" w:cs="Arial"/>
        </w:rPr>
        <w:t xml:space="preserve">rising </w:t>
      </w:r>
      <w:r w:rsidR="00D40CC0">
        <w:rPr>
          <w:rFonts w:ascii="Arial" w:hAnsi="Arial" w:cs="Arial"/>
        </w:rPr>
        <w:t>again</w:t>
      </w:r>
      <w:r w:rsidR="001A0142">
        <w:rPr>
          <w:rFonts w:ascii="Arial" w:hAnsi="Arial" w:cs="Arial"/>
        </w:rPr>
        <w:t xml:space="preserve"> by</w:t>
      </w:r>
      <w:r w:rsidR="00D40CC0">
        <w:rPr>
          <w:rFonts w:ascii="Arial" w:hAnsi="Arial" w:cs="Arial"/>
        </w:rPr>
        <w:t xml:space="preserve"> </w:t>
      </w:r>
      <w:r w:rsidR="001A0142">
        <w:rPr>
          <w:rFonts w:ascii="Arial" w:hAnsi="Arial" w:cs="Arial"/>
        </w:rPr>
        <w:t>12.5% in 2018</w:t>
      </w:r>
      <w:r w:rsidR="00401F88" w:rsidRPr="00401F88">
        <w:rPr>
          <w:rFonts w:ascii="Arial" w:hAnsi="Arial" w:cs="Arial"/>
        </w:rPr>
        <w:t xml:space="preserve">. Like Melbourne, the bulk of these </w:t>
      </w:r>
      <w:r w:rsidR="002876E5">
        <w:rPr>
          <w:rFonts w:ascii="Arial" w:hAnsi="Arial" w:cs="Arial"/>
        </w:rPr>
        <w:t xml:space="preserve">apartment </w:t>
      </w:r>
      <w:r w:rsidR="00401F88" w:rsidRPr="00401F88">
        <w:rPr>
          <w:rFonts w:ascii="Arial" w:hAnsi="Arial" w:cs="Arial"/>
        </w:rPr>
        <w:t>com</w:t>
      </w:r>
      <w:r w:rsidR="001A0142">
        <w:rPr>
          <w:rFonts w:ascii="Arial" w:hAnsi="Arial" w:cs="Arial"/>
        </w:rPr>
        <w:t>pletions will be in</w:t>
      </w:r>
      <w:r w:rsidR="00496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inner-city areas</w:t>
      </w:r>
      <w:r w:rsidR="00401F88" w:rsidRPr="00401F88">
        <w:rPr>
          <w:rFonts w:ascii="Arial" w:hAnsi="Arial" w:cs="Arial"/>
        </w:rPr>
        <w:t>.</w:t>
      </w:r>
      <w:r w:rsidR="002876E5">
        <w:rPr>
          <w:rFonts w:ascii="Arial" w:hAnsi="Arial" w:cs="Arial"/>
        </w:rPr>
        <w:t xml:space="preserve"> </w:t>
      </w:r>
    </w:p>
    <w:p w14:paraId="5E1EBB99" w14:textId="77777777" w:rsidR="001A0142" w:rsidRDefault="001A0142" w:rsidP="002876E5">
      <w:pPr>
        <w:pStyle w:val="Pa1"/>
        <w:spacing w:line="240" w:lineRule="auto"/>
        <w:rPr>
          <w:rFonts w:ascii="Arial" w:hAnsi="Arial" w:cs="Arial"/>
        </w:rPr>
      </w:pPr>
    </w:p>
    <w:p w14:paraId="4151AB55" w14:textId="098504C6" w:rsidR="001A0142" w:rsidRDefault="001A0142" w:rsidP="001A0142">
      <w:pPr>
        <w:pStyle w:val="Pa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876E5" w:rsidRPr="006274CA">
        <w:rPr>
          <w:rFonts w:ascii="Arial" w:hAnsi="Arial" w:cs="Arial"/>
        </w:rPr>
        <w:t>However t</w:t>
      </w:r>
      <w:r w:rsidR="00D40CC0" w:rsidRPr="006274CA">
        <w:rPr>
          <w:rFonts w:ascii="Arial" w:hAnsi="Arial" w:cs="Arial"/>
        </w:rPr>
        <w:t xml:space="preserve">here is strong evidence that Brisbane is already in oversupply </w:t>
      </w:r>
      <w:r w:rsidR="002876E5" w:rsidRPr="006274CA">
        <w:rPr>
          <w:rFonts w:ascii="Arial" w:hAnsi="Arial" w:cs="Arial"/>
        </w:rPr>
        <w:t>and t</w:t>
      </w:r>
      <w:r>
        <w:rPr>
          <w:rFonts w:ascii="Arial" w:hAnsi="Arial" w:cs="Arial"/>
        </w:rPr>
        <w:t>his may become obvious due to an expected</w:t>
      </w:r>
      <w:r w:rsidR="002876E5" w:rsidRPr="006274CA">
        <w:rPr>
          <w:rFonts w:ascii="Arial" w:hAnsi="Arial" w:cs="Arial"/>
        </w:rPr>
        <w:t xml:space="preserve"> surge in new house completions. Brisbane will be completing 12,000 free standing dwellings this year, making for</w:t>
      </w:r>
      <w:r w:rsidR="001A623E">
        <w:rPr>
          <w:rFonts w:ascii="Arial" w:hAnsi="Arial" w:cs="Arial"/>
        </w:rPr>
        <w:t xml:space="preserve"> a total surplus of 8,000 dwellings</w:t>
      </w:r>
      <w:r w:rsidR="002876E5" w:rsidRPr="006274CA">
        <w:rPr>
          <w:rFonts w:ascii="Arial" w:hAnsi="Arial" w:cs="Arial"/>
        </w:rPr>
        <w:t xml:space="preserve"> in 2016, rising to a surplus of 13,</w:t>
      </w:r>
      <w:r w:rsidR="001A623E">
        <w:rPr>
          <w:rFonts w:ascii="Arial" w:hAnsi="Arial" w:cs="Arial"/>
        </w:rPr>
        <w:t>000 dwellings</w:t>
      </w:r>
      <w:r>
        <w:rPr>
          <w:rFonts w:ascii="Arial" w:hAnsi="Arial" w:cs="Arial"/>
        </w:rPr>
        <w:t xml:space="preserve"> in 2017. The </w:t>
      </w:r>
      <w:r w:rsidR="002876E5" w:rsidRPr="006274CA">
        <w:rPr>
          <w:rFonts w:ascii="Arial" w:hAnsi="Arial" w:cs="Arial"/>
        </w:rPr>
        <w:t>Brisbane vacancy rate is already elevated at 2.9%</w:t>
      </w:r>
      <w:r>
        <w:rPr>
          <w:rFonts w:ascii="Arial" w:hAnsi="Arial" w:cs="Arial"/>
        </w:rPr>
        <w:t xml:space="preserve"> and this will rise towards 4% next year,” said Christopher</w:t>
      </w:r>
      <w:r w:rsidR="002876E5" w:rsidRPr="006274CA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D257055" w14:textId="7121BC52" w:rsidR="001A0142" w:rsidRDefault="001A0142" w:rsidP="00963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117C2">
        <w:rPr>
          <w:rFonts w:ascii="Arial" w:hAnsi="Arial" w:cs="Arial"/>
          <w:sz w:val="24"/>
          <w:szCs w:val="24"/>
        </w:rPr>
        <w:t>A</w:t>
      </w:r>
      <w:r w:rsidR="009632DD" w:rsidRPr="009632DD">
        <w:rPr>
          <w:rFonts w:ascii="Arial" w:hAnsi="Arial" w:cs="Arial"/>
          <w:sz w:val="24"/>
          <w:szCs w:val="24"/>
        </w:rPr>
        <w:t>partm</w:t>
      </w:r>
      <w:r>
        <w:rPr>
          <w:rFonts w:ascii="Arial" w:hAnsi="Arial" w:cs="Arial"/>
          <w:sz w:val="24"/>
          <w:szCs w:val="24"/>
        </w:rPr>
        <w:t>ent completions for Sydney</w:t>
      </w:r>
      <w:r w:rsidR="009632DD" w:rsidRPr="009632DD">
        <w:rPr>
          <w:rFonts w:ascii="Arial" w:hAnsi="Arial" w:cs="Arial"/>
          <w:sz w:val="24"/>
          <w:szCs w:val="24"/>
        </w:rPr>
        <w:t xml:space="preserve"> are on track to increase</w:t>
      </w:r>
      <w:r w:rsidR="00F117C2">
        <w:rPr>
          <w:rFonts w:ascii="Arial" w:hAnsi="Arial" w:cs="Arial"/>
          <w:sz w:val="24"/>
          <w:szCs w:val="24"/>
        </w:rPr>
        <w:t xml:space="preserve"> by 33% in 2016</w:t>
      </w:r>
      <w:r>
        <w:rPr>
          <w:rFonts w:ascii="Arial" w:hAnsi="Arial" w:cs="Arial"/>
          <w:sz w:val="24"/>
          <w:szCs w:val="24"/>
        </w:rPr>
        <w:t>, with rises</w:t>
      </w:r>
      <w:r w:rsidR="009632DD" w:rsidRPr="009632DD">
        <w:rPr>
          <w:rFonts w:ascii="Arial" w:hAnsi="Arial" w:cs="Arial"/>
          <w:sz w:val="24"/>
          <w:szCs w:val="24"/>
        </w:rPr>
        <w:t xml:space="preserve"> over the nex</w:t>
      </w:r>
      <w:r w:rsidR="002876E5">
        <w:rPr>
          <w:rFonts w:ascii="Arial" w:hAnsi="Arial" w:cs="Arial"/>
          <w:sz w:val="24"/>
          <w:szCs w:val="24"/>
        </w:rPr>
        <w:t>t two years</w:t>
      </w:r>
      <w:r>
        <w:rPr>
          <w:rFonts w:ascii="Arial" w:hAnsi="Arial" w:cs="Arial"/>
          <w:sz w:val="24"/>
          <w:szCs w:val="24"/>
        </w:rPr>
        <w:t xml:space="preserve"> which is expected to add to moderate oversupply,</w:t>
      </w:r>
      <w:r w:rsidR="008E7FD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he said</w:t>
      </w:r>
      <w:r w:rsidR="002876E5">
        <w:rPr>
          <w:rFonts w:ascii="Arial" w:hAnsi="Arial" w:cs="Arial"/>
          <w:sz w:val="24"/>
          <w:szCs w:val="24"/>
        </w:rPr>
        <w:t xml:space="preserve">. </w:t>
      </w:r>
      <w:r w:rsidR="00496CE2">
        <w:rPr>
          <w:rFonts w:ascii="Arial" w:hAnsi="Arial" w:cs="Arial"/>
          <w:sz w:val="24"/>
          <w:szCs w:val="24"/>
        </w:rPr>
        <w:t xml:space="preserve"> </w:t>
      </w:r>
    </w:p>
    <w:p w14:paraId="4797415C" w14:textId="636B8452" w:rsidR="009632DD" w:rsidRDefault="00496CE2" w:rsidP="00963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</w:t>
      </w:r>
      <w:r w:rsidR="009632DD" w:rsidRPr="009632DD">
        <w:rPr>
          <w:rFonts w:ascii="Arial" w:hAnsi="Arial" w:cs="Arial"/>
          <w:sz w:val="24"/>
          <w:szCs w:val="24"/>
        </w:rPr>
        <w:t xml:space="preserve">21,000 new </w:t>
      </w:r>
      <w:r w:rsidR="001A0142">
        <w:rPr>
          <w:rFonts w:ascii="Arial" w:hAnsi="Arial" w:cs="Arial"/>
          <w:sz w:val="24"/>
          <w:szCs w:val="24"/>
        </w:rPr>
        <w:t xml:space="preserve">Sydney </w:t>
      </w:r>
      <w:r w:rsidR="009632DD" w:rsidRPr="009632DD">
        <w:rPr>
          <w:rFonts w:ascii="Arial" w:hAnsi="Arial" w:cs="Arial"/>
          <w:sz w:val="24"/>
          <w:szCs w:val="24"/>
        </w:rPr>
        <w:t>apartments are to be completed by th</w:t>
      </w:r>
      <w:r w:rsidR="002876E5">
        <w:rPr>
          <w:rFonts w:ascii="Arial" w:hAnsi="Arial" w:cs="Arial"/>
          <w:sz w:val="24"/>
          <w:szCs w:val="24"/>
        </w:rPr>
        <w:t xml:space="preserve">e end of 2017, up a further </w:t>
      </w:r>
      <w:r w:rsidR="009632DD" w:rsidRPr="009632DD">
        <w:rPr>
          <w:rFonts w:ascii="Arial" w:hAnsi="Arial" w:cs="Arial"/>
          <w:sz w:val="24"/>
          <w:szCs w:val="24"/>
        </w:rPr>
        <w:t xml:space="preserve">5% from 2016. Completions for 2018 are forecast to increase by 19% </w:t>
      </w:r>
      <w:r w:rsidR="001A0142">
        <w:rPr>
          <w:rFonts w:ascii="Arial" w:hAnsi="Arial" w:cs="Arial"/>
          <w:sz w:val="24"/>
          <w:szCs w:val="24"/>
        </w:rPr>
        <w:t xml:space="preserve">over 2017 with a total of approximately </w:t>
      </w:r>
      <w:r w:rsidR="009632DD" w:rsidRPr="009632DD">
        <w:rPr>
          <w:rFonts w:ascii="Arial" w:hAnsi="Arial" w:cs="Arial"/>
          <w:sz w:val="24"/>
          <w:szCs w:val="24"/>
        </w:rPr>
        <w:t>25,000 new apartments entering the market.</w:t>
      </w:r>
      <w:r w:rsidR="001A0142">
        <w:rPr>
          <w:rFonts w:ascii="Arial" w:hAnsi="Arial" w:cs="Arial"/>
          <w:sz w:val="24"/>
          <w:szCs w:val="24"/>
        </w:rPr>
        <w:t xml:space="preserve"> House completions</w:t>
      </w:r>
      <w:r w:rsidR="00CC7B08">
        <w:rPr>
          <w:rFonts w:ascii="Arial" w:hAnsi="Arial" w:cs="Arial"/>
          <w:sz w:val="24"/>
          <w:szCs w:val="24"/>
        </w:rPr>
        <w:t xml:space="preserve"> are expected to remain steady at between 15,000 to 17,000 houses with the bulk of those to be completed in Sydney’s North West. The </w:t>
      </w:r>
      <w:r w:rsidR="005630BF">
        <w:rPr>
          <w:rFonts w:ascii="Arial" w:hAnsi="Arial" w:cs="Arial"/>
          <w:sz w:val="24"/>
          <w:szCs w:val="24"/>
        </w:rPr>
        <w:lastRenderedPageBreak/>
        <w:t>s</w:t>
      </w:r>
      <w:r w:rsidR="00CC7B08">
        <w:rPr>
          <w:rFonts w:ascii="Arial" w:hAnsi="Arial" w:cs="Arial"/>
          <w:sz w:val="24"/>
          <w:szCs w:val="24"/>
        </w:rPr>
        <w:t>urplus of dwelling</w:t>
      </w:r>
      <w:r w:rsidR="001A0142">
        <w:rPr>
          <w:rFonts w:ascii="Arial" w:hAnsi="Arial" w:cs="Arial"/>
          <w:sz w:val="24"/>
          <w:szCs w:val="24"/>
        </w:rPr>
        <w:t>s will remain moderate</w:t>
      </w:r>
      <w:r w:rsidR="005630BF">
        <w:rPr>
          <w:rFonts w:ascii="Arial" w:hAnsi="Arial" w:cs="Arial"/>
          <w:sz w:val="24"/>
          <w:szCs w:val="24"/>
        </w:rPr>
        <w:t>. H</w:t>
      </w:r>
      <w:r w:rsidR="001A0142">
        <w:rPr>
          <w:rFonts w:ascii="Arial" w:hAnsi="Arial" w:cs="Arial"/>
          <w:sz w:val="24"/>
          <w:szCs w:val="24"/>
        </w:rPr>
        <w:t>owever</w:t>
      </w:r>
      <w:r w:rsidR="005630BF">
        <w:rPr>
          <w:rFonts w:ascii="Arial" w:hAnsi="Arial" w:cs="Arial"/>
          <w:sz w:val="24"/>
          <w:szCs w:val="24"/>
        </w:rPr>
        <w:t>,</w:t>
      </w:r>
      <w:r w:rsidR="001A0142">
        <w:rPr>
          <w:rFonts w:ascii="Arial" w:hAnsi="Arial" w:cs="Arial"/>
          <w:sz w:val="24"/>
          <w:szCs w:val="24"/>
        </w:rPr>
        <w:t xml:space="preserve"> it may become significant</w:t>
      </w:r>
      <w:r w:rsidR="00CC7B08">
        <w:rPr>
          <w:rFonts w:ascii="Arial" w:hAnsi="Arial" w:cs="Arial"/>
          <w:sz w:val="24"/>
          <w:szCs w:val="24"/>
        </w:rPr>
        <w:t xml:space="preserve"> in 2018 where the total dwelling surplus is expected to reach 9</w:t>
      </w:r>
      <w:r w:rsidR="001A0142">
        <w:rPr>
          <w:rFonts w:ascii="Arial" w:hAnsi="Arial" w:cs="Arial"/>
          <w:sz w:val="24"/>
          <w:szCs w:val="24"/>
        </w:rPr>
        <w:t>,</w:t>
      </w:r>
      <w:r w:rsidR="00CC7B08">
        <w:rPr>
          <w:rFonts w:ascii="Arial" w:hAnsi="Arial" w:cs="Arial"/>
          <w:sz w:val="24"/>
          <w:szCs w:val="24"/>
        </w:rPr>
        <w:t xml:space="preserve">000 dwellings. </w:t>
      </w:r>
    </w:p>
    <w:p w14:paraId="21C4A56A" w14:textId="142114E1" w:rsidR="001A0142" w:rsidRPr="009632DD" w:rsidRDefault="001A0142" w:rsidP="00963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“So while vacancies in Sydney may remain steady in 2017 at approximately 1.8% to 2.0%, we think vacancies will rise in in 2018 to above 2.5%, eventually taking pressure off rents.”</w:t>
      </w:r>
    </w:p>
    <w:p w14:paraId="38A5A242" w14:textId="32840E67" w:rsidR="00F117C2" w:rsidRPr="006274CA" w:rsidRDefault="00F117C2" w:rsidP="00610C8D">
      <w:pPr>
        <w:pStyle w:val="Pa1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AU"/>
        </w:rPr>
        <w:t xml:space="preserve">The </w:t>
      </w:r>
      <w:r w:rsidR="001A0142">
        <w:rPr>
          <w:rFonts w:ascii="Arial" w:hAnsi="Arial" w:cs="Arial"/>
          <w:lang w:val="en-AU"/>
        </w:rPr>
        <w:t xml:space="preserve">chart below provides a summary count of expected </w:t>
      </w:r>
      <w:r w:rsidR="008E7FD2">
        <w:rPr>
          <w:rFonts w:ascii="Arial" w:hAnsi="Arial" w:cs="Arial"/>
          <w:lang w:val="en-AU"/>
        </w:rPr>
        <w:t>dwelling completions. However, f</w:t>
      </w:r>
      <w:r w:rsidR="006274CA">
        <w:rPr>
          <w:rFonts w:ascii="Arial" w:hAnsi="Arial" w:cs="Arial"/>
          <w:lang w:val="en-AU"/>
        </w:rPr>
        <w:t xml:space="preserve">or the full analysis, </w:t>
      </w:r>
      <w:r w:rsidRPr="00567926">
        <w:rPr>
          <w:rFonts w:ascii="Arial" w:hAnsi="Arial" w:cs="Arial"/>
          <w:i/>
        </w:rPr>
        <w:t>Christopher’s Housing Boom and Bust Report 2017</w:t>
      </w:r>
      <w:r w:rsidR="006274CA">
        <w:rPr>
          <w:rFonts w:ascii="Arial" w:hAnsi="Arial" w:cs="Arial"/>
          <w:i/>
        </w:rPr>
        <w:t xml:space="preserve"> </w:t>
      </w:r>
      <w:r w:rsidR="006274CA" w:rsidRPr="006274CA">
        <w:rPr>
          <w:rFonts w:ascii="Arial" w:hAnsi="Arial" w:cs="Arial"/>
        </w:rPr>
        <w:t xml:space="preserve">is now available for $59.95 on </w:t>
      </w:r>
      <w:hyperlink r:id="rId8" w:history="1">
        <w:r w:rsidR="006274CA" w:rsidRPr="006B30AC">
          <w:rPr>
            <w:rStyle w:val="Hyperlink"/>
            <w:rFonts w:ascii="Arial" w:hAnsi="Arial" w:cs="Arial"/>
          </w:rPr>
          <w:t>www.sqmresearch.com.au</w:t>
        </w:r>
      </w:hyperlink>
      <w:r w:rsidR="006274CA">
        <w:rPr>
          <w:rFonts w:ascii="Arial" w:hAnsi="Arial" w:cs="Arial"/>
        </w:rPr>
        <w:t xml:space="preserve"> </w:t>
      </w:r>
      <w:r w:rsidRPr="006274CA">
        <w:rPr>
          <w:rFonts w:ascii="Arial" w:hAnsi="Arial" w:cs="Arial"/>
        </w:rPr>
        <w:t>.</w:t>
      </w:r>
    </w:p>
    <w:p w14:paraId="169FAEE8" w14:textId="77777777" w:rsidR="00610C8D" w:rsidRPr="00610C8D" w:rsidRDefault="00610C8D" w:rsidP="00610C8D">
      <w:pPr>
        <w:rPr>
          <w:lang w:val="en-US"/>
        </w:rPr>
      </w:pPr>
    </w:p>
    <w:p w14:paraId="71EC8C90" w14:textId="617BD25D" w:rsidR="00F117C2" w:rsidRDefault="00610C8D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0C8D">
        <w:rPr>
          <w:noProof/>
          <w:lang w:val="en-US"/>
        </w:rPr>
        <w:drawing>
          <wp:inline distT="0" distB="0" distL="0" distR="0" wp14:anchorId="6ACC7EBD" wp14:editId="0793E2B0">
            <wp:extent cx="5731510" cy="68481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A4DC" w14:textId="3DD02743" w:rsidR="00F117C2" w:rsidRPr="00D40CC0" w:rsidRDefault="00D40CC0" w:rsidP="002C699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40CC0">
        <w:rPr>
          <w:rFonts w:ascii="Arial" w:hAnsi="Arial" w:cs="Arial"/>
          <w:b/>
          <w:sz w:val="16"/>
          <w:szCs w:val="16"/>
        </w:rPr>
        <w:t xml:space="preserve">*Surplus is defined as surplus supply over estimated underlying demand for the year. </w:t>
      </w:r>
    </w:p>
    <w:p w14:paraId="1C11F93F" w14:textId="77777777" w:rsidR="005630BF" w:rsidRDefault="005630BF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FEB8F8" w14:textId="77777777" w:rsidR="005630BF" w:rsidRDefault="005630BF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9C41B9" w14:textId="7893AA71" w:rsidR="004B4AF8" w:rsidRPr="00917FDF" w:rsidRDefault="00E019F5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</w:t>
      </w:r>
      <w:r w:rsidR="004B4AF8" w:rsidRPr="00917FDF">
        <w:rPr>
          <w:rFonts w:ascii="Arial" w:hAnsi="Arial" w:cs="Arial"/>
          <w:b/>
          <w:sz w:val="24"/>
          <w:szCs w:val="24"/>
        </w:rPr>
        <w:t>out SQM Research</w:t>
      </w:r>
    </w:p>
    <w:p w14:paraId="1D86E8C0" w14:textId="68C1C2CB" w:rsidR="004B4AF8" w:rsidRPr="00917FDF" w:rsidRDefault="004B4AF8" w:rsidP="002C6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SQM Research Pty Ltd is a respected Australian investment research house, specialising in providing ratings and data across all major asset classes. </w:t>
      </w:r>
    </w:p>
    <w:p w14:paraId="1D1C10D4" w14:textId="77777777" w:rsidR="007238C9" w:rsidRDefault="007238C9" w:rsidP="002C6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E4DF6" w14:textId="77777777" w:rsidR="007238C9" w:rsidRPr="007238C9" w:rsidRDefault="007238C9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8C9">
        <w:rPr>
          <w:rFonts w:ascii="Arial" w:hAnsi="Arial" w:cs="Arial"/>
          <w:b/>
          <w:sz w:val="24"/>
          <w:szCs w:val="24"/>
        </w:rPr>
        <w:t>Media Inquiries</w:t>
      </w:r>
    </w:p>
    <w:p w14:paraId="7CF16B82" w14:textId="17C1B202" w:rsidR="009B00F8" w:rsidRPr="00917FDF" w:rsidRDefault="007238C9" w:rsidP="002C69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94396" w:rsidRPr="00917FDF">
        <w:rPr>
          <w:rFonts w:ascii="Arial" w:hAnsi="Arial" w:cs="Arial"/>
          <w:sz w:val="24"/>
          <w:szCs w:val="24"/>
        </w:rPr>
        <w:t xml:space="preserve">or further information please contact </w:t>
      </w:r>
      <w:r w:rsidR="00A03172" w:rsidRPr="00917FDF">
        <w:rPr>
          <w:rFonts w:ascii="Arial" w:hAnsi="Arial" w:cs="Arial"/>
          <w:sz w:val="24"/>
          <w:szCs w:val="24"/>
        </w:rPr>
        <w:t>Louis</w:t>
      </w:r>
      <w:r w:rsidR="00E94396" w:rsidRPr="00917FDF">
        <w:rPr>
          <w:rFonts w:ascii="Arial" w:hAnsi="Arial" w:cs="Arial"/>
          <w:sz w:val="24"/>
          <w:szCs w:val="24"/>
        </w:rPr>
        <w:t xml:space="preserve"> </w:t>
      </w:r>
      <w:r w:rsidR="00A03172" w:rsidRPr="00917FDF">
        <w:rPr>
          <w:rFonts w:ascii="Arial" w:hAnsi="Arial" w:cs="Arial"/>
          <w:sz w:val="24"/>
          <w:szCs w:val="24"/>
        </w:rPr>
        <w:t>Christopher</w:t>
      </w:r>
      <w:r w:rsidR="00915207" w:rsidRPr="00917FDF">
        <w:rPr>
          <w:rFonts w:ascii="Arial" w:hAnsi="Arial" w:cs="Arial"/>
          <w:sz w:val="24"/>
          <w:szCs w:val="24"/>
        </w:rPr>
        <w:t>:</w:t>
      </w:r>
      <w:r w:rsidR="00E94396" w:rsidRPr="00917FDF">
        <w:rPr>
          <w:rFonts w:ascii="Arial" w:hAnsi="Arial" w:cs="Arial"/>
          <w:sz w:val="24"/>
          <w:szCs w:val="24"/>
        </w:rPr>
        <w:t xml:space="preserve">    </w:t>
      </w:r>
    </w:p>
    <w:p w14:paraId="3CC741F0" w14:textId="5FF8FD63" w:rsidR="00B3299B" w:rsidRPr="00917FDF" w:rsidRDefault="00FA459C" w:rsidP="002C6990">
      <w:pPr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10" w:history="1">
        <w:r w:rsidR="00A03172" w:rsidRPr="00917FDF">
          <w:rPr>
            <w:rStyle w:val="Hyperlink"/>
            <w:rFonts w:ascii="Arial" w:hAnsi="Arial" w:cs="Arial"/>
            <w:sz w:val="24"/>
            <w:szCs w:val="24"/>
          </w:rPr>
          <w:t>Louis@sqmresearch.com.au</w:t>
        </w:r>
      </w:hyperlink>
    </w:p>
    <w:p w14:paraId="7CD6AFD2" w14:textId="77777777" w:rsidR="007238C9" w:rsidRDefault="007238C9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74AD8A" w14:textId="77777777" w:rsidR="001E1AAA" w:rsidRPr="00D96892" w:rsidRDefault="001E1AAA" w:rsidP="001E1AAA">
      <w:pPr>
        <w:spacing w:after="0" w:line="240" w:lineRule="auto"/>
        <w:rPr>
          <w:rFonts w:ascii="Arial" w:hAnsi="Arial" w:cs="Arial"/>
        </w:rPr>
      </w:pPr>
      <w:r w:rsidRPr="00D96892">
        <w:rPr>
          <w:rFonts w:ascii="Arial" w:hAnsi="Arial" w:cs="Arial"/>
        </w:rPr>
        <w:t>Kimberley Phillis</w:t>
      </w:r>
    </w:p>
    <w:p w14:paraId="69327F8A" w14:textId="77777777" w:rsidR="001E1AAA" w:rsidRPr="00D96892" w:rsidRDefault="00FA459C" w:rsidP="001E1AAA">
      <w:pPr>
        <w:spacing w:after="0" w:line="240" w:lineRule="auto"/>
        <w:rPr>
          <w:rFonts w:ascii="Arial" w:hAnsi="Arial" w:cs="Arial"/>
        </w:rPr>
      </w:pPr>
      <w:hyperlink r:id="rId11" w:history="1">
        <w:r w:rsidR="001E1AAA" w:rsidRPr="00D96892">
          <w:rPr>
            <w:rStyle w:val="Hyperlink"/>
            <w:rFonts w:ascii="Arial" w:hAnsi="Arial" w:cs="Arial"/>
          </w:rPr>
          <w:t>kimberley@sqmresearch.com.au</w:t>
        </w:r>
      </w:hyperlink>
    </w:p>
    <w:p w14:paraId="476585B0" w14:textId="5153CD70" w:rsidR="001E1AAA" w:rsidRDefault="001E1AAA" w:rsidP="001E1A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612 9</w:t>
      </w:r>
      <w:r w:rsidRPr="00D96892">
        <w:rPr>
          <w:rFonts w:ascii="Arial" w:hAnsi="Arial" w:cs="Arial"/>
        </w:rPr>
        <w:t>220 4603</w:t>
      </w:r>
    </w:p>
    <w:p w14:paraId="1CC68C47" w14:textId="77777777" w:rsidR="001E1AAA" w:rsidRDefault="001E1AAA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47F416" w14:textId="6215E111" w:rsidR="00A925FA" w:rsidRPr="00917FDF" w:rsidRDefault="00A925FA" w:rsidP="007238C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7FDF">
        <w:rPr>
          <w:rFonts w:ascii="Arial" w:hAnsi="Arial" w:cs="Arial"/>
          <w:b/>
          <w:sz w:val="24"/>
          <w:szCs w:val="24"/>
        </w:rPr>
        <w:t>-ENDS</w:t>
      </w:r>
      <w:r w:rsidR="00E94396" w:rsidRPr="00917FDF">
        <w:rPr>
          <w:rFonts w:ascii="Arial" w:hAnsi="Arial" w:cs="Arial"/>
          <w:b/>
          <w:sz w:val="24"/>
          <w:szCs w:val="24"/>
        </w:rPr>
        <w:t>-</w:t>
      </w:r>
    </w:p>
    <w:sectPr w:rsidR="00A925FA" w:rsidRPr="00917FDF" w:rsidSect="007E7359">
      <w:headerReference w:type="default" r:id="rId12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4F11" w14:textId="77777777" w:rsidR="00186A34" w:rsidRDefault="00186A34" w:rsidP="0031504C">
      <w:pPr>
        <w:spacing w:after="0" w:line="240" w:lineRule="auto"/>
      </w:pPr>
      <w:r>
        <w:separator/>
      </w:r>
    </w:p>
  </w:endnote>
  <w:endnote w:type="continuationSeparator" w:id="0">
    <w:p w14:paraId="3F5F95DA" w14:textId="77777777" w:rsidR="00186A34" w:rsidRDefault="00186A34" w:rsidP="0031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6C31" w14:textId="77777777" w:rsidR="00186A34" w:rsidRDefault="00186A34" w:rsidP="0031504C">
      <w:pPr>
        <w:spacing w:after="0" w:line="240" w:lineRule="auto"/>
      </w:pPr>
      <w:r>
        <w:separator/>
      </w:r>
    </w:p>
  </w:footnote>
  <w:footnote w:type="continuationSeparator" w:id="0">
    <w:p w14:paraId="0907C629" w14:textId="77777777" w:rsidR="00186A34" w:rsidRDefault="00186A34" w:rsidP="0031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A144" w14:textId="77777777" w:rsidR="00BA2F73" w:rsidRDefault="00BA2F73">
    <w:pPr>
      <w:pStyle w:val="Header"/>
    </w:pPr>
    <w:r>
      <w:rPr>
        <w:noProof/>
        <w:lang w:val="en-US"/>
      </w:rPr>
      <w:drawing>
        <wp:inline distT="0" distB="0" distL="0" distR="0" wp14:anchorId="06C7C573" wp14:editId="38EE7204">
          <wp:extent cx="5731510" cy="8413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58033" w14:textId="77777777" w:rsidR="00BA2F73" w:rsidRDefault="00BA2F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2E"/>
    <w:multiLevelType w:val="hybridMultilevel"/>
    <w:tmpl w:val="0AD04AD0"/>
    <w:lvl w:ilvl="0" w:tplc="62BE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0C4"/>
    <w:multiLevelType w:val="hybridMultilevel"/>
    <w:tmpl w:val="8AF8D2D0"/>
    <w:lvl w:ilvl="0" w:tplc="A6EC4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DIyNjOyMDQ2MrNQ0lEKTi0uzszPAykwrQUADpCBSywAAAA="/>
  </w:docVars>
  <w:rsids>
    <w:rsidRoot w:val="0031504C"/>
    <w:rsid w:val="00000FE1"/>
    <w:rsid w:val="000020CA"/>
    <w:rsid w:val="00002DD5"/>
    <w:rsid w:val="00011A18"/>
    <w:rsid w:val="00014BD7"/>
    <w:rsid w:val="000177CC"/>
    <w:rsid w:val="00021EA6"/>
    <w:rsid w:val="00022598"/>
    <w:rsid w:val="00024E86"/>
    <w:rsid w:val="00027AE4"/>
    <w:rsid w:val="000335DB"/>
    <w:rsid w:val="000368F5"/>
    <w:rsid w:val="0004469D"/>
    <w:rsid w:val="0005133E"/>
    <w:rsid w:val="00064BB4"/>
    <w:rsid w:val="00070292"/>
    <w:rsid w:val="000706EB"/>
    <w:rsid w:val="000724D3"/>
    <w:rsid w:val="00072E8F"/>
    <w:rsid w:val="00080E0F"/>
    <w:rsid w:val="00086DE5"/>
    <w:rsid w:val="000A7995"/>
    <w:rsid w:val="000B4D7C"/>
    <w:rsid w:val="000E258C"/>
    <w:rsid w:val="000E4DFD"/>
    <w:rsid w:val="000E60E9"/>
    <w:rsid w:val="000F72D0"/>
    <w:rsid w:val="00103103"/>
    <w:rsid w:val="00103280"/>
    <w:rsid w:val="00110913"/>
    <w:rsid w:val="00125936"/>
    <w:rsid w:val="00140CE5"/>
    <w:rsid w:val="001552A2"/>
    <w:rsid w:val="00160BF3"/>
    <w:rsid w:val="00161D27"/>
    <w:rsid w:val="00171BFD"/>
    <w:rsid w:val="001730B5"/>
    <w:rsid w:val="00173BCC"/>
    <w:rsid w:val="00177E75"/>
    <w:rsid w:val="001840E7"/>
    <w:rsid w:val="00186A34"/>
    <w:rsid w:val="001A0142"/>
    <w:rsid w:val="001A2318"/>
    <w:rsid w:val="001A235E"/>
    <w:rsid w:val="001A39DE"/>
    <w:rsid w:val="001A623E"/>
    <w:rsid w:val="001B034B"/>
    <w:rsid w:val="001B2E62"/>
    <w:rsid w:val="001B5341"/>
    <w:rsid w:val="001B685B"/>
    <w:rsid w:val="001B79B5"/>
    <w:rsid w:val="001B7B71"/>
    <w:rsid w:val="001C1671"/>
    <w:rsid w:val="001C35CD"/>
    <w:rsid w:val="001C3F81"/>
    <w:rsid w:val="001C4189"/>
    <w:rsid w:val="001C47D9"/>
    <w:rsid w:val="001D1162"/>
    <w:rsid w:val="001E0D3B"/>
    <w:rsid w:val="001E1AAA"/>
    <w:rsid w:val="001E606E"/>
    <w:rsid w:val="001E628D"/>
    <w:rsid w:val="001E6FED"/>
    <w:rsid w:val="001F4C50"/>
    <w:rsid w:val="00203784"/>
    <w:rsid w:val="00214410"/>
    <w:rsid w:val="00215412"/>
    <w:rsid w:val="0022234C"/>
    <w:rsid w:val="0024590D"/>
    <w:rsid w:val="0024727F"/>
    <w:rsid w:val="00250100"/>
    <w:rsid w:val="00251FDE"/>
    <w:rsid w:val="00263797"/>
    <w:rsid w:val="0026745D"/>
    <w:rsid w:val="00267957"/>
    <w:rsid w:val="00271814"/>
    <w:rsid w:val="00276D0C"/>
    <w:rsid w:val="00280BE0"/>
    <w:rsid w:val="00284C81"/>
    <w:rsid w:val="00286632"/>
    <w:rsid w:val="002876E5"/>
    <w:rsid w:val="002930EE"/>
    <w:rsid w:val="002A125F"/>
    <w:rsid w:val="002A1AF0"/>
    <w:rsid w:val="002A2FC2"/>
    <w:rsid w:val="002A5CD1"/>
    <w:rsid w:val="002B04F7"/>
    <w:rsid w:val="002C033F"/>
    <w:rsid w:val="002C0F61"/>
    <w:rsid w:val="002C6990"/>
    <w:rsid w:val="002C6A58"/>
    <w:rsid w:val="002D11A5"/>
    <w:rsid w:val="002D1699"/>
    <w:rsid w:val="002F5B1C"/>
    <w:rsid w:val="00303A79"/>
    <w:rsid w:val="00304320"/>
    <w:rsid w:val="0031504C"/>
    <w:rsid w:val="003317F5"/>
    <w:rsid w:val="00333337"/>
    <w:rsid w:val="00337B33"/>
    <w:rsid w:val="00357359"/>
    <w:rsid w:val="003731BE"/>
    <w:rsid w:val="00376B98"/>
    <w:rsid w:val="00382BA2"/>
    <w:rsid w:val="003A6952"/>
    <w:rsid w:val="003B1D1A"/>
    <w:rsid w:val="003B5E75"/>
    <w:rsid w:val="003B732F"/>
    <w:rsid w:val="003C403E"/>
    <w:rsid w:val="003D3232"/>
    <w:rsid w:val="003E102D"/>
    <w:rsid w:val="003E46C6"/>
    <w:rsid w:val="003F350F"/>
    <w:rsid w:val="00400FC6"/>
    <w:rsid w:val="0040168B"/>
    <w:rsid w:val="00401F88"/>
    <w:rsid w:val="0040788B"/>
    <w:rsid w:val="00417615"/>
    <w:rsid w:val="00420305"/>
    <w:rsid w:val="0042059C"/>
    <w:rsid w:val="00422A27"/>
    <w:rsid w:val="00433E84"/>
    <w:rsid w:val="004378E4"/>
    <w:rsid w:val="0045047E"/>
    <w:rsid w:val="00452CE4"/>
    <w:rsid w:val="0045496B"/>
    <w:rsid w:val="00461033"/>
    <w:rsid w:val="00461AFE"/>
    <w:rsid w:val="00467682"/>
    <w:rsid w:val="004745AF"/>
    <w:rsid w:val="004850B9"/>
    <w:rsid w:val="00496CE2"/>
    <w:rsid w:val="004A3243"/>
    <w:rsid w:val="004A456F"/>
    <w:rsid w:val="004A4B2F"/>
    <w:rsid w:val="004A6402"/>
    <w:rsid w:val="004A6612"/>
    <w:rsid w:val="004B163B"/>
    <w:rsid w:val="004B353E"/>
    <w:rsid w:val="004B36DE"/>
    <w:rsid w:val="004B4AF8"/>
    <w:rsid w:val="004D30A3"/>
    <w:rsid w:val="004D5042"/>
    <w:rsid w:val="004E390D"/>
    <w:rsid w:val="004F02EC"/>
    <w:rsid w:val="005039C9"/>
    <w:rsid w:val="005055D2"/>
    <w:rsid w:val="005073C3"/>
    <w:rsid w:val="00521AC0"/>
    <w:rsid w:val="00522BF5"/>
    <w:rsid w:val="00524324"/>
    <w:rsid w:val="0054166F"/>
    <w:rsid w:val="00554F01"/>
    <w:rsid w:val="00555BD4"/>
    <w:rsid w:val="005569E4"/>
    <w:rsid w:val="00556DDC"/>
    <w:rsid w:val="005630BF"/>
    <w:rsid w:val="00567926"/>
    <w:rsid w:val="00567C56"/>
    <w:rsid w:val="00577840"/>
    <w:rsid w:val="00580198"/>
    <w:rsid w:val="0058023F"/>
    <w:rsid w:val="0058119A"/>
    <w:rsid w:val="00583CCD"/>
    <w:rsid w:val="00585245"/>
    <w:rsid w:val="00586FE0"/>
    <w:rsid w:val="00594AC8"/>
    <w:rsid w:val="00594DEC"/>
    <w:rsid w:val="005A34EB"/>
    <w:rsid w:val="005A67B2"/>
    <w:rsid w:val="005B5231"/>
    <w:rsid w:val="005C04A6"/>
    <w:rsid w:val="005C23AC"/>
    <w:rsid w:val="005C776E"/>
    <w:rsid w:val="005D5FBF"/>
    <w:rsid w:val="005D6B40"/>
    <w:rsid w:val="005E2533"/>
    <w:rsid w:val="005F1D0C"/>
    <w:rsid w:val="005F1F0E"/>
    <w:rsid w:val="005F5E80"/>
    <w:rsid w:val="005F6987"/>
    <w:rsid w:val="00602E3D"/>
    <w:rsid w:val="00603E31"/>
    <w:rsid w:val="006046AC"/>
    <w:rsid w:val="00605459"/>
    <w:rsid w:val="00607B02"/>
    <w:rsid w:val="00610C8D"/>
    <w:rsid w:val="006148A6"/>
    <w:rsid w:val="00614D56"/>
    <w:rsid w:val="006274CA"/>
    <w:rsid w:val="006344B9"/>
    <w:rsid w:val="00644025"/>
    <w:rsid w:val="006448DD"/>
    <w:rsid w:val="00647134"/>
    <w:rsid w:val="00652B75"/>
    <w:rsid w:val="006832E1"/>
    <w:rsid w:val="0069015C"/>
    <w:rsid w:val="006945FF"/>
    <w:rsid w:val="006A07B6"/>
    <w:rsid w:val="006B32EC"/>
    <w:rsid w:val="006B3460"/>
    <w:rsid w:val="006E14F9"/>
    <w:rsid w:val="006F4354"/>
    <w:rsid w:val="006F4E30"/>
    <w:rsid w:val="006F638F"/>
    <w:rsid w:val="007238C9"/>
    <w:rsid w:val="007337C2"/>
    <w:rsid w:val="007353A5"/>
    <w:rsid w:val="00735A17"/>
    <w:rsid w:val="007400AE"/>
    <w:rsid w:val="007427ED"/>
    <w:rsid w:val="0074629D"/>
    <w:rsid w:val="007528B8"/>
    <w:rsid w:val="00753824"/>
    <w:rsid w:val="00756CA4"/>
    <w:rsid w:val="007672ED"/>
    <w:rsid w:val="00776A83"/>
    <w:rsid w:val="007911A5"/>
    <w:rsid w:val="00797895"/>
    <w:rsid w:val="007A0603"/>
    <w:rsid w:val="007B67FE"/>
    <w:rsid w:val="007D19EB"/>
    <w:rsid w:val="007D1D79"/>
    <w:rsid w:val="007E486A"/>
    <w:rsid w:val="007E7359"/>
    <w:rsid w:val="007F55A2"/>
    <w:rsid w:val="008109E1"/>
    <w:rsid w:val="0081630F"/>
    <w:rsid w:val="00820B01"/>
    <w:rsid w:val="00827595"/>
    <w:rsid w:val="00833938"/>
    <w:rsid w:val="0083609A"/>
    <w:rsid w:val="00862024"/>
    <w:rsid w:val="00865D63"/>
    <w:rsid w:val="0088596B"/>
    <w:rsid w:val="0089148D"/>
    <w:rsid w:val="00892CC0"/>
    <w:rsid w:val="00894EAC"/>
    <w:rsid w:val="008A3F42"/>
    <w:rsid w:val="008A42E1"/>
    <w:rsid w:val="008A7478"/>
    <w:rsid w:val="008B0781"/>
    <w:rsid w:val="008B52AA"/>
    <w:rsid w:val="008C4A68"/>
    <w:rsid w:val="008C60D2"/>
    <w:rsid w:val="008D73F7"/>
    <w:rsid w:val="008E0525"/>
    <w:rsid w:val="008E42FD"/>
    <w:rsid w:val="008E6C63"/>
    <w:rsid w:val="008E7FD2"/>
    <w:rsid w:val="009019F1"/>
    <w:rsid w:val="009109F5"/>
    <w:rsid w:val="00915207"/>
    <w:rsid w:val="00917FDF"/>
    <w:rsid w:val="00923871"/>
    <w:rsid w:val="00923B25"/>
    <w:rsid w:val="00926A20"/>
    <w:rsid w:val="00927409"/>
    <w:rsid w:val="00944773"/>
    <w:rsid w:val="00947B43"/>
    <w:rsid w:val="00953E81"/>
    <w:rsid w:val="00954F2C"/>
    <w:rsid w:val="00956875"/>
    <w:rsid w:val="00960CAE"/>
    <w:rsid w:val="00962564"/>
    <w:rsid w:val="009632DD"/>
    <w:rsid w:val="009654F3"/>
    <w:rsid w:val="00966DE2"/>
    <w:rsid w:val="009677F1"/>
    <w:rsid w:val="00971AC7"/>
    <w:rsid w:val="00980A71"/>
    <w:rsid w:val="00980B39"/>
    <w:rsid w:val="00981D4A"/>
    <w:rsid w:val="00985B61"/>
    <w:rsid w:val="009942AE"/>
    <w:rsid w:val="00995AB9"/>
    <w:rsid w:val="009A3B3D"/>
    <w:rsid w:val="009A4E45"/>
    <w:rsid w:val="009B00F8"/>
    <w:rsid w:val="009B0583"/>
    <w:rsid w:val="009B4097"/>
    <w:rsid w:val="009C6FFF"/>
    <w:rsid w:val="009C7E1B"/>
    <w:rsid w:val="009D1F85"/>
    <w:rsid w:val="009D344C"/>
    <w:rsid w:val="009D35BA"/>
    <w:rsid w:val="009E53A9"/>
    <w:rsid w:val="009E7389"/>
    <w:rsid w:val="009F3E48"/>
    <w:rsid w:val="009F6B28"/>
    <w:rsid w:val="009F6DEB"/>
    <w:rsid w:val="009F7EE9"/>
    <w:rsid w:val="00A00D25"/>
    <w:rsid w:val="00A017B0"/>
    <w:rsid w:val="00A02136"/>
    <w:rsid w:val="00A029F8"/>
    <w:rsid w:val="00A02F10"/>
    <w:rsid w:val="00A03172"/>
    <w:rsid w:val="00A04E10"/>
    <w:rsid w:val="00A05004"/>
    <w:rsid w:val="00A07008"/>
    <w:rsid w:val="00A206E6"/>
    <w:rsid w:val="00A20AC2"/>
    <w:rsid w:val="00A25455"/>
    <w:rsid w:val="00A32E47"/>
    <w:rsid w:val="00A34B6F"/>
    <w:rsid w:val="00A449AF"/>
    <w:rsid w:val="00A47F51"/>
    <w:rsid w:val="00A50524"/>
    <w:rsid w:val="00A50796"/>
    <w:rsid w:val="00A52420"/>
    <w:rsid w:val="00A570AB"/>
    <w:rsid w:val="00A617EB"/>
    <w:rsid w:val="00A63ED6"/>
    <w:rsid w:val="00A76733"/>
    <w:rsid w:val="00A76AA0"/>
    <w:rsid w:val="00A773B9"/>
    <w:rsid w:val="00A8471F"/>
    <w:rsid w:val="00A925FA"/>
    <w:rsid w:val="00A9605C"/>
    <w:rsid w:val="00AA680E"/>
    <w:rsid w:val="00AA6CF0"/>
    <w:rsid w:val="00AB0F54"/>
    <w:rsid w:val="00AC32F0"/>
    <w:rsid w:val="00AC5410"/>
    <w:rsid w:val="00AC5538"/>
    <w:rsid w:val="00AC6927"/>
    <w:rsid w:val="00AD6E8C"/>
    <w:rsid w:val="00AD733A"/>
    <w:rsid w:val="00AF0AC6"/>
    <w:rsid w:val="00AF41E2"/>
    <w:rsid w:val="00AF508D"/>
    <w:rsid w:val="00B044F7"/>
    <w:rsid w:val="00B07D90"/>
    <w:rsid w:val="00B123F7"/>
    <w:rsid w:val="00B1603F"/>
    <w:rsid w:val="00B16605"/>
    <w:rsid w:val="00B21457"/>
    <w:rsid w:val="00B3299B"/>
    <w:rsid w:val="00B56F4B"/>
    <w:rsid w:val="00B57409"/>
    <w:rsid w:val="00B66215"/>
    <w:rsid w:val="00B70D67"/>
    <w:rsid w:val="00B80223"/>
    <w:rsid w:val="00B80521"/>
    <w:rsid w:val="00B87638"/>
    <w:rsid w:val="00B90240"/>
    <w:rsid w:val="00BA1D8F"/>
    <w:rsid w:val="00BA2F73"/>
    <w:rsid w:val="00BA52EE"/>
    <w:rsid w:val="00BA5B98"/>
    <w:rsid w:val="00BA6F3A"/>
    <w:rsid w:val="00BB554E"/>
    <w:rsid w:val="00BB7E1C"/>
    <w:rsid w:val="00BC043B"/>
    <w:rsid w:val="00BC78B9"/>
    <w:rsid w:val="00BE501D"/>
    <w:rsid w:val="00BE6DDF"/>
    <w:rsid w:val="00BE765A"/>
    <w:rsid w:val="00BE7ADA"/>
    <w:rsid w:val="00BF0EF4"/>
    <w:rsid w:val="00C04A47"/>
    <w:rsid w:val="00C13063"/>
    <w:rsid w:val="00C318B6"/>
    <w:rsid w:val="00C36248"/>
    <w:rsid w:val="00C37733"/>
    <w:rsid w:val="00C40382"/>
    <w:rsid w:val="00C4323D"/>
    <w:rsid w:val="00C46882"/>
    <w:rsid w:val="00C64240"/>
    <w:rsid w:val="00C721B9"/>
    <w:rsid w:val="00C73FE3"/>
    <w:rsid w:val="00C74F76"/>
    <w:rsid w:val="00C76B7F"/>
    <w:rsid w:val="00C844E5"/>
    <w:rsid w:val="00C86C91"/>
    <w:rsid w:val="00C93190"/>
    <w:rsid w:val="00C95E63"/>
    <w:rsid w:val="00C9629C"/>
    <w:rsid w:val="00CA2607"/>
    <w:rsid w:val="00CB0DD6"/>
    <w:rsid w:val="00CB2113"/>
    <w:rsid w:val="00CB45EA"/>
    <w:rsid w:val="00CC56B2"/>
    <w:rsid w:val="00CC7B08"/>
    <w:rsid w:val="00CD6A04"/>
    <w:rsid w:val="00CD6A95"/>
    <w:rsid w:val="00CE3547"/>
    <w:rsid w:val="00CF4497"/>
    <w:rsid w:val="00D0060F"/>
    <w:rsid w:val="00D043D2"/>
    <w:rsid w:val="00D04415"/>
    <w:rsid w:val="00D07BCF"/>
    <w:rsid w:val="00D13210"/>
    <w:rsid w:val="00D230CB"/>
    <w:rsid w:val="00D27706"/>
    <w:rsid w:val="00D36934"/>
    <w:rsid w:val="00D37F93"/>
    <w:rsid w:val="00D40CC0"/>
    <w:rsid w:val="00D42464"/>
    <w:rsid w:val="00D42910"/>
    <w:rsid w:val="00D431F9"/>
    <w:rsid w:val="00D46D1D"/>
    <w:rsid w:val="00D5683C"/>
    <w:rsid w:val="00D63A88"/>
    <w:rsid w:val="00D642C5"/>
    <w:rsid w:val="00D75C76"/>
    <w:rsid w:val="00D80313"/>
    <w:rsid w:val="00D8184F"/>
    <w:rsid w:val="00D8547B"/>
    <w:rsid w:val="00D920A6"/>
    <w:rsid w:val="00DA4113"/>
    <w:rsid w:val="00DA6F84"/>
    <w:rsid w:val="00DB148F"/>
    <w:rsid w:val="00DB4F70"/>
    <w:rsid w:val="00DC2550"/>
    <w:rsid w:val="00DC72BE"/>
    <w:rsid w:val="00DE22CC"/>
    <w:rsid w:val="00DF088D"/>
    <w:rsid w:val="00DF668D"/>
    <w:rsid w:val="00E008F9"/>
    <w:rsid w:val="00E019F5"/>
    <w:rsid w:val="00E1541A"/>
    <w:rsid w:val="00E213C8"/>
    <w:rsid w:val="00E2622C"/>
    <w:rsid w:val="00E31D60"/>
    <w:rsid w:val="00E34CAC"/>
    <w:rsid w:val="00E4152E"/>
    <w:rsid w:val="00E54348"/>
    <w:rsid w:val="00E61003"/>
    <w:rsid w:val="00E821EF"/>
    <w:rsid w:val="00E82408"/>
    <w:rsid w:val="00E83354"/>
    <w:rsid w:val="00E93D1A"/>
    <w:rsid w:val="00E94396"/>
    <w:rsid w:val="00E944EF"/>
    <w:rsid w:val="00EA2DD8"/>
    <w:rsid w:val="00EA5D5A"/>
    <w:rsid w:val="00EA7F9F"/>
    <w:rsid w:val="00EB2627"/>
    <w:rsid w:val="00EC295A"/>
    <w:rsid w:val="00EC2B41"/>
    <w:rsid w:val="00EC36F3"/>
    <w:rsid w:val="00EF0615"/>
    <w:rsid w:val="00EF4096"/>
    <w:rsid w:val="00F026A5"/>
    <w:rsid w:val="00F07F89"/>
    <w:rsid w:val="00F117C2"/>
    <w:rsid w:val="00F172CC"/>
    <w:rsid w:val="00F20F89"/>
    <w:rsid w:val="00F215B3"/>
    <w:rsid w:val="00F327ED"/>
    <w:rsid w:val="00F357F0"/>
    <w:rsid w:val="00F365FE"/>
    <w:rsid w:val="00F36B94"/>
    <w:rsid w:val="00F37124"/>
    <w:rsid w:val="00F4046B"/>
    <w:rsid w:val="00F430DD"/>
    <w:rsid w:val="00F44A22"/>
    <w:rsid w:val="00F50A21"/>
    <w:rsid w:val="00F51062"/>
    <w:rsid w:val="00F62494"/>
    <w:rsid w:val="00F66489"/>
    <w:rsid w:val="00F71026"/>
    <w:rsid w:val="00F74AAB"/>
    <w:rsid w:val="00F74D2D"/>
    <w:rsid w:val="00F772CC"/>
    <w:rsid w:val="00F81FF2"/>
    <w:rsid w:val="00F91B2C"/>
    <w:rsid w:val="00F91B36"/>
    <w:rsid w:val="00F951C4"/>
    <w:rsid w:val="00F96BF3"/>
    <w:rsid w:val="00FA459C"/>
    <w:rsid w:val="00FB083E"/>
    <w:rsid w:val="00FB6B5C"/>
    <w:rsid w:val="00FC4FF8"/>
    <w:rsid w:val="00FC7429"/>
    <w:rsid w:val="00FD26BA"/>
    <w:rsid w:val="00FD2CB8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03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C"/>
  </w:style>
  <w:style w:type="paragraph" w:styleId="Footer">
    <w:name w:val="footer"/>
    <w:basedOn w:val="Normal"/>
    <w:link w:val="Foot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C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0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318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1D1162"/>
    <w:pPr>
      <w:widowControl w:val="0"/>
      <w:autoSpaceDE w:val="0"/>
      <w:autoSpaceDN w:val="0"/>
      <w:adjustRightInd w:val="0"/>
      <w:spacing w:after="0" w:line="181" w:lineRule="atLeast"/>
    </w:pPr>
    <w:rPr>
      <w:rFonts w:ascii="Frutiger 45 Light" w:hAnsi="Frutiger 45 Light" w:cs="Times New Roman"/>
      <w:sz w:val="24"/>
      <w:szCs w:val="24"/>
      <w:lang w:val="en-US"/>
    </w:rPr>
  </w:style>
  <w:style w:type="paragraph" w:customStyle="1" w:styleId="Default">
    <w:name w:val="Default"/>
    <w:rsid w:val="001D1162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C"/>
  </w:style>
  <w:style w:type="paragraph" w:styleId="Footer">
    <w:name w:val="footer"/>
    <w:basedOn w:val="Normal"/>
    <w:link w:val="Foot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C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0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318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1D1162"/>
    <w:pPr>
      <w:widowControl w:val="0"/>
      <w:autoSpaceDE w:val="0"/>
      <w:autoSpaceDN w:val="0"/>
      <w:adjustRightInd w:val="0"/>
      <w:spacing w:after="0" w:line="181" w:lineRule="atLeast"/>
    </w:pPr>
    <w:rPr>
      <w:rFonts w:ascii="Frutiger 45 Light" w:hAnsi="Frutiger 45 Light" w:cs="Times New Roman"/>
      <w:sz w:val="24"/>
      <w:szCs w:val="24"/>
      <w:lang w:val="en-US"/>
    </w:rPr>
  </w:style>
  <w:style w:type="paragraph" w:customStyle="1" w:styleId="Default">
    <w:name w:val="Default"/>
    <w:rsid w:val="001D1162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mberley@sqmresearch.com.a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qmresearch.com.au" TargetMode="External"/><Relationship Id="rId9" Type="http://schemas.openxmlformats.org/officeDocument/2006/relationships/image" Target="media/image1.emf"/><Relationship Id="rId10" Type="http://schemas.openxmlformats.org/officeDocument/2006/relationships/hyperlink" Target="mailto:Louis@sqmresearc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Nicki Bourlioufas</cp:lastModifiedBy>
  <cp:revision>2</cp:revision>
  <cp:lastPrinted>2016-11-01T00:25:00Z</cp:lastPrinted>
  <dcterms:created xsi:type="dcterms:W3CDTF">2016-11-01T22:55:00Z</dcterms:created>
  <dcterms:modified xsi:type="dcterms:W3CDTF">2016-11-01T22:55:00Z</dcterms:modified>
  <cp:contentStatus/>
</cp:coreProperties>
</file>